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Gullspång kommunfullmäktige</w:t>
      </w:r>
    </w:p>
    <w:p>
      <w:pPr>
        <w:pStyle w:val="Heading1"/>
      </w:pPr>
      <w:r>
        <w:t xml:space="preserve">Ökat medborgarinflytande via öppen budget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Gullspång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Medborgarna i Gullspång efterfrågar större insyn i kommunens ekonomi. Öppen budgetprocess stärker demokratin och förtroendet för politiken.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Gullspång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en öppen budgetprocess med medborgardialog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minst två medborgarmöten per år hålls i olika delar av kommunen.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budgetförslag publiceras i lättläst version på kommunens webbplats.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medborgarförslag som får stöd av 50 personer ska behandlas i fullmäktige.</w:t>
      </w:r>
    </w:p>
    <w:p>
      <w:pPr>
        <w:spacing w:before="360"/>
      </w:pPr>
    </w:p>
    <w:p>
      <w:r>
        <w:t xml:space="preserve">Gullspång,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Gullspång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2026-07-14T00:02:12.229Z</dcterms:created>
  <dcterms:modified xsi:type="dcterms:W3CDTF">2026-07-14T00:02:12.229Z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